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0F0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p>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2025年10月份“支部主题党日”工作提示</w:t>
      </w:r>
      <w:bookmarkEnd w:id="0"/>
    </w:p>
    <w:p w14:paraId="4B2A8B0B">
      <w:pPr>
        <w:pStyle w:val="1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各二级党组织、各党支部：</w:t>
      </w:r>
    </w:p>
    <w:p w14:paraId="3065908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现就开展</w:t>
      </w:r>
      <w:r>
        <w:rPr>
          <w:rFonts w:hint="eastAsia" w:ascii="仿宋_GB2312" w:hAnsi="仿宋_GB2312" w:cs="仿宋_GB2312"/>
          <w:color w:val="auto"/>
          <w:spacing w:val="0"/>
          <w:sz w:val="32"/>
          <w:szCs w:val="32"/>
          <w:highlight w:val="none"/>
          <w:u w:val="none" w:color="auto"/>
          <w:lang w:val="en-US" w:eastAsia="zh-CN"/>
        </w:rPr>
        <w:t>10</w:t>
      </w:r>
      <w:r>
        <w:rPr>
          <w:rFonts w:hint="eastAsia" w:ascii="仿宋_GB2312" w:hAnsi="仿宋_GB2312" w:eastAsia="仿宋_GB2312" w:cs="仿宋_GB2312"/>
          <w:color w:val="auto"/>
          <w:spacing w:val="0"/>
          <w:sz w:val="32"/>
          <w:szCs w:val="32"/>
          <w:highlight w:val="none"/>
          <w:u w:val="none" w:color="auto"/>
          <w:lang w:val="en-US" w:eastAsia="zh-CN"/>
        </w:rPr>
        <w:t>月份“支部主题党日”活动有关事项通知如下。</w:t>
      </w:r>
    </w:p>
    <w:p w14:paraId="107947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val="en-US" w:eastAsia="zh-CN"/>
        </w:rPr>
      </w:pPr>
      <w:r>
        <w:rPr>
          <w:rFonts w:hint="eastAsia" w:ascii="黑体" w:hAnsi="黑体" w:eastAsia="黑体" w:cs="黑体"/>
          <w:color w:val="auto"/>
          <w:kern w:val="2"/>
          <w:sz w:val="32"/>
          <w:szCs w:val="32"/>
          <w:highlight w:val="none"/>
          <w:u w:val="none" w:color="auto"/>
          <w:lang w:eastAsia="zh-CN"/>
        </w:rPr>
        <w:t>一、活动时间</w:t>
      </w:r>
      <w:r>
        <w:rPr>
          <w:rFonts w:hint="eastAsia" w:ascii="黑体" w:hAnsi="黑体" w:eastAsia="黑体" w:cs="黑体"/>
          <w:color w:val="auto"/>
          <w:kern w:val="2"/>
          <w:sz w:val="32"/>
          <w:szCs w:val="32"/>
          <w:highlight w:val="none"/>
          <w:u w:val="none" w:color="auto"/>
          <w:lang w:val="en-US" w:eastAsia="zh-CN"/>
        </w:rPr>
        <w:t>和</w:t>
      </w:r>
      <w:r>
        <w:rPr>
          <w:rFonts w:hint="eastAsia" w:ascii="黑体" w:hAnsi="黑体" w:eastAsia="黑体" w:cs="黑体"/>
          <w:color w:val="auto"/>
          <w:kern w:val="2"/>
          <w:sz w:val="32"/>
          <w:szCs w:val="32"/>
          <w:highlight w:val="none"/>
          <w:u w:val="none" w:color="auto"/>
          <w:lang w:eastAsia="zh-CN"/>
        </w:rPr>
        <w:t>活动形式</w:t>
      </w:r>
    </w:p>
    <w:p w14:paraId="65611FD0">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原则上在10月23日</w:t>
      </w:r>
      <w:r>
        <w:rPr>
          <w:rFonts w:hint="eastAsia" w:ascii="仿宋_GB2312" w:hAnsi="仿宋_GB2312" w:eastAsia="仿宋_GB2312" w:cs="仿宋_GB2312"/>
          <w:color w:val="auto"/>
          <w:spacing w:val="0"/>
          <w:sz w:val="32"/>
          <w:szCs w:val="32"/>
          <w:highlight w:val="none"/>
          <w:u w:val="none" w:color="auto"/>
          <w:lang w:val="en-US" w:eastAsia="zh-CN"/>
        </w:rPr>
        <w:t>前，以支部为单位集中开展。</w:t>
      </w:r>
    </w:p>
    <w:p w14:paraId="5A4D54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eastAsia="zh-CN"/>
        </w:rPr>
      </w:pPr>
      <w:r>
        <w:rPr>
          <w:rFonts w:hint="eastAsia" w:ascii="黑体" w:hAnsi="黑体" w:eastAsia="黑体" w:cs="黑体"/>
          <w:color w:val="auto"/>
          <w:kern w:val="2"/>
          <w:sz w:val="32"/>
          <w:szCs w:val="32"/>
          <w:highlight w:val="none"/>
          <w:u w:val="none" w:color="auto"/>
          <w:lang w:eastAsia="zh-CN"/>
        </w:rPr>
        <w:t>二、活动主题</w:t>
      </w:r>
    </w:p>
    <w:p w14:paraId="048C91D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楷体_GB2312" w:hAnsi="楷体_GB2312" w:eastAsia="楷体_GB2312" w:cs="楷体_GB2312"/>
          <w:b/>
          <w:bCs/>
          <w:color w:val="auto"/>
          <w:spacing w:val="0"/>
          <w:sz w:val="32"/>
          <w:szCs w:val="32"/>
          <w:highlight w:val="none"/>
          <w:u w:val="none" w:color="auto"/>
          <w:lang w:val="en-US" w:eastAsia="zh-CN"/>
        </w:rPr>
      </w:pPr>
      <w:r>
        <w:rPr>
          <w:rFonts w:hint="eastAsia" w:ascii="楷体_GB2312" w:hAnsi="楷体_GB2312" w:eastAsia="楷体_GB2312" w:cs="楷体_GB2312"/>
          <w:b/>
          <w:bCs/>
          <w:color w:val="auto"/>
          <w:spacing w:val="0"/>
          <w:sz w:val="32"/>
          <w:szCs w:val="32"/>
          <w:highlight w:val="none"/>
          <w:u w:val="none" w:color="auto"/>
          <w:lang w:val="en-US" w:eastAsia="zh-CN"/>
        </w:rPr>
        <w:t>欢庆华诞忆初心 锤炼作风担使命</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三、重点内容</w:t>
      </w:r>
    </w:p>
    <w:p w14:paraId="6A1514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outlineLvl w:val="9"/>
        <w:rPr>
          <w:rFonts w:hint="eastAsia"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楷体_GB2312" w:hAnsi="楷体_GB2312" w:eastAsia="楷体_GB2312" w:cs="楷体_GB2312"/>
          <w:b/>
          <w:bCs/>
          <w:color w:val="auto"/>
          <w:spacing w:val="0"/>
          <w:kern w:val="2"/>
          <w:sz w:val="32"/>
          <w:szCs w:val="32"/>
          <w:highlight w:val="none"/>
          <w:lang w:val="en-US" w:eastAsia="zh-CN"/>
        </w:rPr>
        <w:t>（一）奏唱国歌</w:t>
      </w:r>
    </w:p>
    <w:p w14:paraId="42A8C2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（二）开展专题学习</w:t>
      </w:r>
    </w:p>
    <w:p w14:paraId="4D3390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"https://www.12371.cn/2025/09/15/ARTI1757919924816934.shtml"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Fonts w:hint="eastAsia" w:ascii="仿宋_GB2312" w:hAnsi="仿宋_GB2312" w:eastAsia="仿宋_GB2312" w:cs="仿宋_GB2312"/>
          <w:color w:val="auto"/>
          <w:kern w:val="0"/>
          <w:sz w:val="32"/>
          <w:szCs w:val="32"/>
          <w:u w:val="none" w:color="auto"/>
          <w:lang w:val="en-US" w:eastAsia="zh-CN"/>
        </w:rPr>
        <w:t>1.点击阅读：《求是》杂志上发表习近平总书记重要文章《纵深推进全国统一大市场建设》</w:t>
      </w:r>
      <w:r>
        <w:rPr>
          <w:rFonts w:hint="eastAsia" w:ascii="仿宋_GB2312" w:hAnsi="仿宋_GB2312" w:eastAsia="仿宋_GB2312" w:cs="仿宋_GB2312"/>
          <w:color w:val="auto"/>
          <w:kern w:val="0"/>
          <w:sz w:val="32"/>
          <w:szCs w:val="32"/>
          <w:u w:val="none" w:color="auto"/>
          <w:lang w:val="en-US" w:eastAsia="zh-CN"/>
        </w:rPr>
        <w:fldChar w:fldCharType="end"/>
      </w:r>
    </w:p>
    <w:p w14:paraId="4B6D39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eastAsia"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t>2.点击阅读：</w:t>
      </w: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"https://www.12371.cn/2025/09/28/ARTI1759036459280865.shtml"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《中国共产党思想政治工作条例》</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08C02BD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"https://mp.weixin.qq.com/s/8viRtW8L553ufGrKk-vNNg" </w:instrText>
      </w:r>
      <w:r>
        <w:rPr>
          <w:rFonts w:hint="eastAsia" w:ascii="仿宋_GB2312" w:hAnsi="仿宋_GB2312" w:eastAsia="仿宋_GB2312" w:cs="仿宋_GB2312"/>
          <w:color w:val="auto"/>
          <w:kern w:val="0"/>
          <w:sz w:val="32"/>
          <w:szCs w:val="32"/>
          <w:u w:val="none" w:color="auto"/>
          <w:lang w:val="en-US" w:eastAsia="zh-CN"/>
        </w:rPr>
        <w:fldChar w:fldCharType="separate"/>
      </w:r>
      <w:r>
        <w:rPr>
          <w:rFonts w:hint="eastAsia" w:ascii="仿宋_GB2312" w:hAnsi="仿宋_GB2312" w:eastAsia="仿宋_GB2312" w:cs="仿宋_GB2312"/>
          <w:color w:val="auto"/>
          <w:kern w:val="0"/>
          <w:sz w:val="32"/>
          <w:szCs w:val="32"/>
          <w:u w:val="none" w:color="auto"/>
          <w:lang w:val="en-US" w:eastAsia="zh-CN"/>
        </w:rPr>
        <w:t>3</w:t>
      </w:r>
      <w:r>
        <w:rPr>
          <w:rFonts w:hint="eastAsia" w:ascii="仿宋_GB2312" w:hAnsi="仿宋_GB2312" w:eastAsia="仿宋_GB2312" w:cs="仿宋_GB2312"/>
          <w:color w:val="auto"/>
          <w:kern w:val="0"/>
          <w:sz w:val="32"/>
          <w:szCs w:val="32"/>
          <w:u w:val="none" w:color="auto"/>
        </w:rPr>
        <w:t>.</w:t>
      </w:r>
      <w:r>
        <w:rPr>
          <w:rFonts w:hint="eastAsia" w:ascii="仿宋_GB2312" w:hAnsi="仿宋_GB2312" w:eastAsia="仿宋_GB2312" w:cs="仿宋_GB2312"/>
          <w:color w:val="auto"/>
          <w:kern w:val="0"/>
          <w:sz w:val="32"/>
          <w:szCs w:val="32"/>
          <w:u w:val="none" w:color="auto"/>
          <w:lang w:val="en-US" w:eastAsia="zh-CN"/>
        </w:rPr>
        <w:t>点击阅读：</w:t>
      </w:r>
      <w:r>
        <w:rPr>
          <w:rFonts w:hint="eastAsia" w:ascii="仿宋_GB2312" w:hAnsi="仿宋_GB2312" w:eastAsia="仿宋_GB2312" w:cs="仿宋_GB2312"/>
          <w:color w:val="auto"/>
          <w:kern w:val="0"/>
          <w:sz w:val="32"/>
          <w:szCs w:val="32"/>
          <w:u w:val="none" w:color="auto"/>
        </w:rPr>
        <w:t>王忠林主持召开省委常委会会议 完整准确全面贯彻新时代党的治疆方略 持续提升对口援疆工作质效</w:t>
      </w:r>
    </w:p>
    <w:p w14:paraId="26647B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end"/>
      </w:r>
      <w:r>
        <w:rPr>
          <w:rFonts w:hint="eastAsia" w:ascii="仿宋_GB2312" w:hAnsi="仿宋_GB2312" w:eastAsia="仿宋_GB2312" w:cs="仿宋_GB2312"/>
          <w:color w:val="auto"/>
          <w:kern w:val="0"/>
          <w:sz w:val="32"/>
          <w:szCs w:val="32"/>
          <w:u w:val="none" w:color="auto"/>
          <w:lang w:val="en-US" w:eastAsia="zh-CN"/>
        </w:rPr>
        <w:t>4.点击阅读：</w:t>
      </w: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"https://mp.weixin.qq.com/s/aBODKnNpThfg1aVwO3ea5A"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李军杰主持召开市委常委会会议 认真学习贯彻《习近平谈治国理政》第五卷 更好用党的创新理论统一思想统一意志统一行动</w:t>
      </w:r>
      <w:r>
        <w:rPr>
          <w:rFonts w:hint="eastAsia" w:ascii="仿宋_GB2312" w:hAnsi="仿宋_GB2312" w:eastAsia="仿宋_GB2312" w:cs="仿宋_GB2312"/>
          <w:color w:val="auto"/>
          <w:kern w:val="0"/>
          <w:sz w:val="32"/>
          <w:szCs w:val="32"/>
          <w:u w:val="none" w:color="auto"/>
          <w:lang w:val="en-US" w:eastAsia="zh-CN"/>
        </w:rPr>
        <w:fldChar w:fldCharType="end"/>
      </w:r>
    </w:p>
    <w:p w14:paraId="6931A4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（三）日常</w:t>
      </w:r>
      <w:r>
        <w:rPr>
          <w:rFonts w:hint="default" w:ascii="Times New Roman" w:hAnsi="Times New Roman" w:eastAsia="楷体_GB2312" w:cs="Times New Roman"/>
          <w:b/>
          <w:bCs/>
          <w:color w:val="auto"/>
          <w:spacing w:val="0"/>
          <w:kern w:val="0"/>
          <w:sz w:val="32"/>
          <w:szCs w:val="32"/>
          <w:highlight w:val="none"/>
          <w:u w:val="none" w:color="auto"/>
          <w:lang w:val="en-US" w:eastAsia="zh-CN"/>
        </w:rPr>
        <w:t>学习</w:t>
      </w:r>
      <w:r>
        <w:rPr>
          <w:rFonts w:hint="eastAsia" w:ascii="Times New Roman" w:hAnsi="Times New Roman" w:eastAsia="楷体_GB2312" w:cs="Times New Roman"/>
          <w:b/>
          <w:bCs/>
          <w:color w:val="auto"/>
          <w:spacing w:val="0"/>
          <w:kern w:val="0"/>
          <w:sz w:val="32"/>
          <w:szCs w:val="32"/>
          <w:highlight w:val="none"/>
          <w:u w:val="none" w:color="auto"/>
          <w:lang w:val="en-US" w:eastAsia="zh-CN"/>
        </w:rPr>
        <w:t>内容</w:t>
      </w:r>
    </w:p>
    <w:p w14:paraId="79A26C9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eastAsia"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"https://www.12371.cn/2025/09/24/ARTI1758711945359273.shtml"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1.点击阅读：习近平在听取新疆维吾尔自治区党委和政府工作汇报时的讲话</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4D9AB1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eastAsia"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"https://www.12371.cn/2025/09/25/ARTI1758762730644721.shtml"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2.点击阅读：习近平在联合国气候变化峰会上的致辞</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511D2FB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eastAsia"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"https://www.12371.cn/2025/09/19/ARTI1758259163872142.shtml"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3.点击阅读：习近平致中国致公党成立100周年的贺信</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23AE4D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default"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t>4.点击阅读：</w:t>
      </w: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"https://www.gov.cn/yaowen/liebiao/202509/content_7041666.htm"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习近平总书记向全国广大农民和工作在“三农”战线上的同志致以节日祝贺和诚挚问候</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6702B6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Style w:val="23"/>
          <w:rFonts w:hint="eastAsia" w:ascii="仿宋_GB2312" w:hAnsi="仿宋_GB2312" w:eastAsia="仿宋_GB2312" w:cs="仿宋_GB2312"/>
          <w:color w:val="auto"/>
          <w:kern w:val="0"/>
          <w:sz w:val="32"/>
          <w:szCs w:val="32"/>
          <w:u w:val="none" w:color="auto"/>
          <w:lang w:val="en-US" w:eastAsia="zh-CN"/>
        </w:rPr>
      </w:pPr>
      <w:r>
        <w:rPr>
          <w:rStyle w:val="23"/>
          <w:rFonts w:hint="eastAsia" w:ascii="仿宋_GB2312" w:hAnsi="仿宋_GB2312" w:eastAsia="仿宋_GB2312" w:cs="仿宋_GB2312"/>
          <w:color w:val="auto"/>
          <w:kern w:val="0"/>
          <w:sz w:val="32"/>
          <w:szCs w:val="32"/>
          <w:u w:val="none" w:color="auto"/>
          <w:lang w:val="en-US" w:eastAsia="zh-CN"/>
        </w:rPr>
        <w:fldChar w:fldCharType="begin"/>
      </w:r>
      <w:r>
        <w:rPr>
          <w:rStyle w:val="23"/>
          <w:rFonts w:hint="eastAsia" w:ascii="仿宋_GB2312" w:hAnsi="仿宋_GB2312" w:eastAsia="仿宋_GB2312" w:cs="仿宋_GB2312"/>
          <w:color w:val="auto"/>
          <w:kern w:val="0"/>
          <w:sz w:val="32"/>
          <w:szCs w:val="32"/>
          <w:u w:val="none" w:color="auto"/>
          <w:lang w:val="en-US" w:eastAsia="zh-CN"/>
        </w:rPr>
        <w:instrText xml:space="preserve"> HYPERLINK "https://www.hbdx.gov.cn/c/2025/09/20/39349.shtml" </w:instrText>
      </w:r>
      <w:r>
        <w:rPr>
          <w:rStyle w:val="23"/>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5.点击阅读：王忠林主持召开省委常委会会议 强化全局观念 抓实重点任务 更好融入和服务全国统一大市场建设</w:t>
      </w:r>
      <w:r>
        <w:rPr>
          <w:rStyle w:val="23"/>
          <w:rFonts w:hint="eastAsia" w:ascii="仿宋_GB2312" w:hAnsi="仿宋_GB2312" w:eastAsia="仿宋_GB2312" w:cs="仿宋_GB2312"/>
          <w:color w:val="auto"/>
          <w:kern w:val="0"/>
          <w:sz w:val="32"/>
          <w:szCs w:val="32"/>
          <w:u w:val="none" w:color="auto"/>
          <w:lang w:val="en-US" w:eastAsia="zh-CN"/>
        </w:rPr>
        <w:fldChar w:fldCharType="end"/>
      </w:r>
    </w:p>
    <w:p w14:paraId="7625F9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u w:val="none" w:color="auto"/>
          <w:lang w:val="en-US" w:eastAsia="zh-CN"/>
        </w:rPr>
        <w:t>对已经组织集中学习的内容可不重复学，由基层党支部根据需要确定其他学习内容。</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（四）深入</w:t>
      </w:r>
      <w:r>
        <w:rPr>
          <w:rFonts w:hint="default" w:ascii="Times New Roman" w:hAnsi="Times New Roman" w:eastAsia="楷体_GB2312" w:cs="Times New Roman"/>
          <w:b/>
          <w:bCs/>
          <w:color w:val="auto"/>
          <w:spacing w:val="0"/>
          <w:kern w:val="0"/>
          <w:sz w:val="32"/>
          <w:szCs w:val="32"/>
          <w:highlight w:val="none"/>
          <w:u w:val="none" w:color="auto"/>
          <w:lang w:val="en-US" w:eastAsia="zh-CN"/>
        </w:rPr>
        <w:t>交流研讨</w:t>
      </w:r>
    </w:p>
    <w:p w14:paraId="550755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u w:val="none" w:color="auto"/>
        </w:rPr>
      </w:pPr>
      <w:r>
        <w:rPr>
          <w:rFonts w:hint="eastAsia" w:ascii="Times New Roman" w:hAnsi="Times New Roman" w:eastAsia="仿宋_GB2312" w:cs="Times New Roman"/>
          <w:color w:val="auto"/>
          <w:sz w:val="32"/>
          <w:szCs w:val="32"/>
          <w:u w:val="none" w:color="auto"/>
          <w:lang w:val="en-US" w:eastAsia="zh-CN"/>
        </w:rPr>
        <w:t>各党组织要以庆祝新中国成立七十六周年为契机，依托党支部或党小组开展主题研讨交流，以弘扬和践行民族、革命与爱国精神为主线，引导党员干部深刻感悟新中国伟大变革和辉煌成就，进一步凝聚共识、增强行动自觉，激发爱党爱国热情。</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四、有关要求</w:t>
      </w:r>
    </w:p>
    <w:p w14:paraId="0B406B4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1.开展庆祝新中国成立七十六周年系列活动。</w:t>
      </w:r>
      <w:r>
        <w:rPr>
          <w:rFonts w:hint="eastAsia" w:ascii="仿宋_GB2312" w:hAnsi="仿宋_GB2312" w:eastAsia="仿宋_GB2312" w:cs="仿宋_GB2312"/>
          <w:color w:val="auto"/>
          <w:spacing w:val="0"/>
          <w:sz w:val="32"/>
          <w:szCs w:val="32"/>
          <w:lang w:val="en-US" w:eastAsia="zh-CN"/>
        </w:rPr>
        <w:t>各单位党组织要通过奏唱国歌、重温入党誓词、寄语老党员等方式，为10月份入党的党员过好“政治生日”。组织党员干部深入研读红色经典，分享读书心得，或组织观看红色影片，或到红色教育基地接受爱国主义教育，重温峥嵘岁月，激励党员干部爱岗敬业、团结奋进、担当作为。</w:t>
      </w:r>
    </w:p>
    <w:p w14:paraId="657DB6F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2.扎实开展党员不得信教排查活动。</w:t>
      </w:r>
      <w:r>
        <w:rPr>
          <w:rFonts w:hint="eastAsia" w:ascii="仿宋_GB2312" w:hAnsi="仿宋_GB2312" w:eastAsia="仿宋_GB2312" w:cs="仿宋_GB2312"/>
          <w:color w:val="auto"/>
          <w:spacing w:val="0"/>
          <w:sz w:val="32"/>
          <w:szCs w:val="32"/>
          <w:lang w:val="en-US" w:eastAsia="zh-CN"/>
        </w:rPr>
        <w:t>根据上级有关要求，各单位党组织要在10月底前，结合支部主题党日，开展一次党员不得信仰宗教的专题教育，采取专题研讨等方式组织党员认真学习习近平总书记关于宗教工作的重要讲话精神、《中国共产党纪律处分条例》和《中国共产党不合格党员组织处置办法》中关于党员信教的纪律规定，提高党性修养，增强纪律意识。同时，各党组织要全面摸排党员信仰宗教情况，建立问题台账，依规依纪做好问题处置和教育转化工作。</w:t>
      </w:r>
    </w:p>
    <w:p w14:paraId="68CCC98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3.提升活动实效。</w:t>
      </w:r>
      <w:r>
        <w:rPr>
          <w:rFonts w:hint="eastAsia" w:ascii="仿宋_GB2312" w:hAnsi="仿宋_GB2312" w:eastAsia="仿宋_GB2312" w:cs="仿宋_GB2312"/>
          <w:color w:val="auto"/>
          <w:spacing w:val="0"/>
          <w:sz w:val="32"/>
          <w:szCs w:val="32"/>
          <w:lang w:val="en-US" w:eastAsia="zh-CN"/>
        </w:rPr>
        <w:t>各二级党组织要加强统筹安排和分类指导，督促基层党组织结合实际制定10月份主题党日具体方案，并组织开展好各项活动，确保支部活动突出主题、聚焦重点、彰显特色、抓出实效。</w:t>
      </w:r>
    </w:p>
    <w:p w14:paraId="3F82B3D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p>
    <w:p w14:paraId="76985D14">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附件：</w:t>
      </w:r>
    </w:p>
    <w:p w14:paraId="7CD7E15A">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1.党员不得信仰宗教专题教育、信教党员排查情况统计表</w:t>
      </w:r>
    </w:p>
    <w:p w14:paraId="1B7C1AFB">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2.</w:t>
      </w:r>
      <w:r>
        <w:rPr>
          <w:rFonts w:hint="eastAsia" w:ascii="仿宋_GB2312" w:hAnsi="仿宋_GB2312" w:eastAsia="仿宋_GB2312" w:cs="仿宋_GB2312"/>
          <w:color w:val="auto"/>
          <w:spacing w:val="0"/>
          <w:sz w:val="32"/>
          <w:szCs w:val="32"/>
          <w:highlight w:val="none"/>
          <w:u w:val="none" w:color="auto"/>
          <w:lang w:val="en-US" w:eastAsia="zh-CN"/>
        </w:rPr>
        <w:t>信教党员排查处理情况登记表</w:t>
      </w:r>
    </w:p>
    <w:p w14:paraId="0715D2DD">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3</w:t>
      </w:r>
      <w:r>
        <w:rPr>
          <w:rFonts w:hint="eastAsia" w:ascii="仿宋_GB2312" w:hAnsi="仿宋_GB2312" w:eastAsia="仿宋_GB2312" w:cs="仿宋_GB2312"/>
          <w:color w:val="auto"/>
          <w:spacing w:val="0"/>
          <w:sz w:val="32"/>
          <w:szCs w:val="32"/>
          <w:highlight w:val="none"/>
          <w:u w:val="none" w:color="auto"/>
          <w:lang w:val="en-US" w:eastAsia="zh-CN"/>
        </w:rPr>
        <w:t>.党员不信教不参教承诺书</w:t>
      </w:r>
    </w:p>
    <w:p w14:paraId="5B24699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bookmarkStart w:id="1" w:name="_GoBack"/>
      <w:bookmarkEnd w:id="1"/>
    </w:p>
    <w:p w14:paraId="028FCC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p>
    <w:p w14:paraId="36281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党委组织部</w:t>
      </w:r>
    </w:p>
    <w:p w14:paraId="11425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2025年10月13日</w:t>
      </w:r>
    </w:p>
    <w:p w14:paraId="08671469">
      <w:pPr>
        <w:keepNext w:val="0"/>
        <w:keepLines w:val="0"/>
        <w:pageBreakBefore w:val="0"/>
        <w:kinsoku/>
        <w:overflowPunct/>
        <w:topLinePunct w:val="0"/>
        <w:autoSpaceDE/>
        <w:autoSpaceDN/>
        <w:bidi w:val="0"/>
        <w:spacing w:line="560" w:lineRule="exact"/>
        <w:rPr>
          <w:rFonts w:hint="default" w:ascii="仿宋_GB2312" w:hAnsi="仿宋" w:eastAsia="仿宋_GB2312" w:cs="仿宋_GB2312"/>
          <w:color w:val="auto"/>
          <w:kern w:val="2"/>
          <w:sz w:val="32"/>
          <w:szCs w:val="32"/>
          <w:u w:val="none" w:color="auto"/>
          <w:lang w:val="en-US" w:eastAsia="zh-CN"/>
        </w:rPr>
      </w:pPr>
    </w:p>
    <w:sectPr>
      <w:headerReference r:id="rId3" w:type="default"/>
      <w:footerReference r:id="rId4" w:type="default"/>
      <w:pgSz w:w="11905" w:h="16838"/>
      <w:pgMar w:top="1417" w:right="1531" w:bottom="1417"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5CD5">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670A78"/>
    <w:rsid w:val="066C559F"/>
    <w:rsid w:val="0685405F"/>
    <w:rsid w:val="07371321"/>
    <w:rsid w:val="074A1D85"/>
    <w:rsid w:val="07B677D7"/>
    <w:rsid w:val="07CE5D3E"/>
    <w:rsid w:val="07E5405F"/>
    <w:rsid w:val="081E558D"/>
    <w:rsid w:val="08A2341F"/>
    <w:rsid w:val="08B1373D"/>
    <w:rsid w:val="08D347CE"/>
    <w:rsid w:val="08E8165B"/>
    <w:rsid w:val="091D2902"/>
    <w:rsid w:val="093A315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11772A"/>
    <w:rsid w:val="11665A0D"/>
    <w:rsid w:val="11AD029C"/>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70744ED"/>
    <w:rsid w:val="17141A67"/>
    <w:rsid w:val="171C43EE"/>
    <w:rsid w:val="17451C21"/>
    <w:rsid w:val="17502643"/>
    <w:rsid w:val="1791130A"/>
    <w:rsid w:val="17D406AA"/>
    <w:rsid w:val="180513B0"/>
    <w:rsid w:val="181E7FE1"/>
    <w:rsid w:val="181F6915"/>
    <w:rsid w:val="18A87649"/>
    <w:rsid w:val="18B0568E"/>
    <w:rsid w:val="18DE5645"/>
    <w:rsid w:val="18F03E0E"/>
    <w:rsid w:val="190A1374"/>
    <w:rsid w:val="19140901"/>
    <w:rsid w:val="195530FA"/>
    <w:rsid w:val="19706CFD"/>
    <w:rsid w:val="197463EB"/>
    <w:rsid w:val="19946818"/>
    <w:rsid w:val="19C239FC"/>
    <w:rsid w:val="19EE0AD5"/>
    <w:rsid w:val="19F8741E"/>
    <w:rsid w:val="19FD67E3"/>
    <w:rsid w:val="1A0758B3"/>
    <w:rsid w:val="1A470CD2"/>
    <w:rsid w:val="1A7B11E0"/>
    <w:rsid w:val="1A9A6727"/>
    <w:rsid w:val="1AA76A5F"/>
    <w:rsid w:val="1AEE2320"/>
    <w:rsid w:val="1B1F61B5"/>
    <w:rsid w:val="1B244243"/>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582671"/>
    <w:rsid w:val="21695393"/>
    <w:rsid w:val="218E3AA7"/>
    <w:rsid w:val="21956989"/>
    <w:rsid w:val="21A67760"/>
    <w:rsid w:val="22237A39"/>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D07D87"/>
    <w:rsid w:val="2D0852BD"/>
    <w:rsid w:val="2D2F00EA"/>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4DE7F42"/>
    <w:rsid w:val="35103416"/>
    <w:rsid w:val="35472BB0"/>
    <w:rsid w:val="354730EF"/>
    <w:rsid w:val="355968DE"/>
    <w:rsid w:val="355C70F0"/>
    <w:rsid w:val="356D1397"/>
    <w:rsid w:val="35DC154A"/>
    <w:rsid w:val="35F6720F"/>
    <w:rsid w:val="35FB7678"/>
    <w:rsid w:val="36873BAC"/>
    <w:rsid w:val="368A1019"/>
    <w:rsid w:val="368C7DA3"/>
    <w:rsid w:val="36A209E6"/>
    <w:rsid w:val="37737C8C"/>
    <w:rsid w:val="37845D66"/>
    <w:rsid w:val="37863E63"/>
    <w:rsid w:val="37A45917"/>
    <w:rsid w:val="37E371D5"/>
    <w:rsid w:val="37F214F9"/>
    <w:rsid w:val="37FC2378"/>
    <w:rsid w:val="382611A3"/>
    <w:rsid w:val="38A618FA"/>
    <w:rsid w:val="38B001A3"/>
    <w:rsid w:val="39113830"/>
    <w:rsid w:val="39606B15"/>
    <w:rsid w:val="39806F74"/>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51B09C3"/>
    <w:rsid w:val="4550158D"/>
    <w:rsid w:val="45C50D2D"/>
    <w:rsid w:val="45C53DA9"/>
    <w:rsid w:val="46445615"/>
    <w:rsid w:val="46461F1F"/>
    <w:rsid w:val="464E3D9E"/>
    <w:rsid w:val="46C06CDB"/>
    <w:rsid w:val="46D87408"/>
    <w:rsid w:val="47013507"/>
    <w:rsid w:val="472445EF"/>
    <w:rsid w:val="475C44C2"/>
    <w:rsid w:val="47B35EFB"/>
    <w:rsid w:val="48401E0D"/>
    <w:rsid w:val="48A745F8"/>
    <w:rsid w:val="48B31CA4"/>
    <w:rsid w:val="48FF05DF"/>
    <w:rsid w:val="49BC54C3"/>
    <w:rsid w:val="49C34AA3"/>
    <w:rsid w:val="49C56609"/>
    <w:rsid w:val="49D557B4"/>
    <w:rsid w:val="4A474213"/>
    <w:rsid w:val="4A7B17F6"/>
    <w:rsid w:val="4AAB264B"/>
    <w:rsid w:val="4B07651B"/>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923421"/>
    <w:rsid w:val="50AB3C6D"/>
    <w:rsid w:val="50CA6E7C"/>
    <w:rsid w:val="513242BC"/>
    <w:rsid w:val="513C227F"/>
    <w:rsid w:val="515B3813"/>
    <w:rsid w:val="51693ED3"/>
    <w:rsid w:val="516C1183"/>
    <w:rsid w:val="5207457B"/>
    <w:rsid w:val="523A6198"/>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6266092"/>
    <w:rsid w:val="56487015"/>
    <w:rsid w:val="567A4822"/>
    <w:rsid w:val="567B0DD0"/>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F2D3D"/>
    <w:rsid w:val="6098413C"/>
    <w:rsid w:val="611D7686"/>
    <w:rsid w:val="61453B98"/>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8B4284"/>
    <w:rsid w:val="66951B17"/>
    <w:rsid w:val="66B1143A"/>
    <w:rsid w:val="66CD4D5B"/>
    <w:rsid w:val="66D116C1"/>
    <w:rsid w:val="67014055"/>
    <w:rsid w:val="673152EA"/>
    <w:rsid w:val="67363909"/>
    <w:rsid w:val="67A8286B"/>
    <w:rsid w:val="67C269E2"/>
    <w:rsid w:val="681A3FD0"/>
    <w:rsid w:val="68402E30"/>
    <w:rsid w:val="684626D0"/>
    <w:rsid w:val="686F12E8"/>
    <w:rsid w:val="688865EB"/>
    <w:rsid w:val="68DE5130"/>
    <w:rsid w:val="691E022D"/>
    <w:rsid w:val="692F66C2"/>
    <w:rsid w:val="693E5A9D"/>
    <w:rsid w:val="6995229F"/>
    <w:rsid w:val="69BC6811"/>
    <w:rsid w:val="6A350C4E"/>
    <w:rsid w:val="6A3C4761"/>
    <w:rsid w:val="6A3D4D9A"/>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F050718"/>
    <w:rsid w:val="6F4A4271"/>
    <w:rsid w:val="6F4F657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41D383F"/>
    <w:rsid w:val="749D4D63"/>
    <w:rsid w:val="74B85039"/>
    <w:rsid w:val="7511305A"/>
    <w:rsid w:val="75164B44"/>
    <w:rsid w:val="752C0E9F"/>
    <w:rsid w:val="75720710"/>
    <w:rsid w:val="75E414E5"/>
    <w:rsid w:val="76067942"/>
    <w:rsid w:val="76804E2A"/>
    <w:rsid w:val="76DA528E"/>
    <w:rsid w:val="76F459ED"/>
    <w:rsid w:val="770630FE"/>
    <w:rsid w:val="776D3702"/>
    <w:rsid w:val="77BA6C36"/>
    <w:rsid w:val="77CA4EC1"/>
    <w:rsid w:val="785B5393"/>
    <w:rsid w:val="786B6301"/>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6A4E7C"/>
    <w:rsid w:val="7D711B45"/>
    <w:rsid w:val="7D8764EA"/>
    <w:rsid w:val="7D9A72EE"/>
    <w:rsid w:val="7DEB345D"/>
    <w:rsid w:val="7E221091"/>
    <w:rsid w:val="7E24533C"/>
    <w:rsid w:val="7E370FE0"/>
    <w:rsid w:val="7E4F0190"/>
    <w:rsid w:val="7E8B6C36"/>
    <w:rsid w:val="7F4B0294"/>
    <w:rsid w:val="7F6D4D05"/>
    <w:rsid w:val="7F7075AD"/>
    <w:rsid w:val="7F905BFE"/>
    <w:rsid w:val="7F995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6">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7">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宋体"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widowControl/>
      <w:spacing w:after="0"/>
      <w:ind w:left="0" w:leftChars="0" w:firstLine="420" w:firstLineChars="200"/>
    </w:pPr>
    <w:rPr>
      <w:rFonts w:ascii="宋体" w:hAnsi="宋体"/>
      <w:kern w:val="0"/>
      <w:sz w:val="30"/>
      <w:szCs w:val="18"/>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1144</Words>
  <Characters>1176</Characters>
  <Lines>0</Lines>
  <Paragraphs>0</Paragraphs>
  <TotalTime>17</TotalTime>
  <ScaleCrop>false</ScaleCrop>
  <LinksUpToDate>false</LinksUpToDate>
  <CharactersWithSpaces>1184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2025-10-13T00:25:38Z</cp:lastPrinted>
  <dcterms:modified xsi:type="dcterms:W3CDTF">2025-10-13T01:15:58Z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